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61" w:rsidRDefault="002A3F61">
      <w:pPr>
        <w:spacing w:before="64" w:after="6" w:line="286" w:lineRule="exact"/>
        <w:jc w:val="center"/>
        <w:rPr>
          <w:b/>
          <w:bCs/>
        </w:rPr>
      </w:pPr>
      <w:bookmarkStart w:id="0" w:name="_GoBack"/>
      <w:bookmarkEnd w:id="0"/>
      <w:r>
        <w:rPr>
          <w:b/>
          <w:bCs/>
        </w:rPr>
        <w:t>SİVİL SAVUNMA UZMANLIĞI HİZMET STANDARTLARI EK-2</w:t>
      </w:r>
    </w:p>
    <w:tbl>
      <w:tblPr>
        <w:tblW w:w="0" w:type="auto"/>
        <w:tblInd w:w="15" w:type="dxa"/>
        <w:tblLayout w:type="fixed"/>
        <w:tblCellMar>
          <w:left w:w="0" w:type="dxa"/>
          <w:right w:w="0" w:type="dxa"/>
        </w:tblCellMar>
        <w:tblLook w:val="0000" w:firstRow="0" w:lastRow="0" w:firstColumn="0" w:lastColumn="0" w:noHBand="0" w:noVBand="0"/>
      </w:tblPr>
      <w:tblGrid>
        <w:gridCol w:w="706"/>
        <w:gridCol w:w="864"/>
        <w:gridCol w:w="840"/>
        <w:gridCol w:w="3302"/>
        <w:gridCol w:w="1512"/>
        <w:gridCol w:w="2275"/>
        <w:gridCol w:w="1718"/>
      </w:tblGrid>
      <w:tr w:rsidR="002A3F61">
        <w:tblPrEx>
          <w:tblCellMar>
            <w:top w:w="0" w:type="dxa"/>
            <w:left w:w="0" w:type="dxa"/>
            <w:bottom w:w="0" w:type="dxa"/>
            <w:right w:w="0" w:type="dxa"/>
          </w:tblCellMar>
        </w:tblPrEx>
        <w:trPr>
          <w:trHeight w:hRule="exact" w:val="701"/>
        </w:trPr>
        <w:tc>
          <w:tcPr>
            <w:tcW w:w="706" w:type="dxa"/>
            <w:tcBorders>
              <w:top w:val="single" w:sz="4" w:space="0" w:color="auto"/>
              <w:left w:val="single" w:sz="4" w:space="0" w:color="auto"/>
              <w:bottom w:val="single" w:sz="4" w:space="0" w:color="auto"/>
              <w:right w:val="single" w:sz="4" w:space="0" w:color="auto"/>
            </w:tcBorders>
            <w:vAlign w:val="center"/>
          </w:tcPr>
          <w:p w:rsidR="002A3F61" w:rsidRDefault="002A3F61">
            <w:pPr>
              <w:spacing w:before="253" w:after="217" w:line="225" w:lineRule="exact"/>
              <w:ind w:left="110"/>
              <w:rPr>
                <w:b/>
                <w:bCs/>
                <w:spacing w:val="-2"/>
                <w:sz w:val="20"/>
                <w:szCs w:val="20"/>
              </w:rPr>
            </w:pPr>
            <w:r>
              <w:rPr>
                <w:b/>
                <w:bCs/>
                <w:spacing w:val="-2"/>
                <w:sz w:val="20"/>
                <w:szCs w:val="20"/>
              </w:rPr>
              <w:t>S.NO</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2A3F61" w:rsidRDefault="002A3F61">
            <w:pPr>
              <w:spacing w:before="243" w:after="220" w:line="232" w:lineRule="exact"/>
              <w:jc w:val="center"/>
              <w:rPr>
                <w:b/>
                <w:bCs/>
                <w:sz w:val="20"/>
                <w:szCs w:val="20"/>
              </w:rPr>
            </w:pPr>
            <w:r>
              <w:rPr>
                <w:b/>
                <w:bCs/>
                <w:sz w:val="20"/>
                <w:szCs w:val="20"/>
              </w:rPr>
              <w:t>HİZMETİN ADI</w:t>
            </w:r>
          </w:p>
        </w:tc>
        <w:tc>
          <w:tcPr>
            <w:tcW w:w="7089" w:type="dxa"/>
            <w:gridSpan w:val="3"/>
            <w:tcBorders>
              <w:top w:val="single" w:sz="4" w:space="0" w:color="auto"/>
              <w:left w:val="single" w:sz="4" w:space="0" w:color="auto"/>
              <w:bottom w:val="single" w:sz="4" w:space="0" w:color="auto"/>
              <w:right w:val="single" w:sz="4" w:space="0" w:color="auto"/>
            </w:tcBorders>
            <w:vAlign w:val="center"/>
          </w:tcPr>
          <w:p w:rsidR="002A3F61" w:rsidRDefault="002A3F61">
            <w:pPr>
              <w:spacing w:before="243" w:after="220" w:line="232" w:lineRule="exact"/>
              <w:jc w:val="center"/>
              <w:rPr>
                <w:b/>
                <w:bCs/>
                <w:sz w:val="20"/>
                <w:szCs w:val="20"/>
              </w:rPr>
            </w:pPr>
            <w:r>
              <w:rPr>
                <w:b/>
                <w:bCs/>
                <w:sz w:val="20"/>
                <w:szCs w:val="20"/>
              </w:rPr>
              <w:t>BAŞVURUDA İSTENİLEN BELGELER</w:t>
            </w:r>
          </w:p>
        </w:tc>
        <w:tc>
          <w:tcPr>
            <w:tcW w:w="1718" w:type="dxa"/>
            <w:tcBorders>
              <w:top w:val="single" w:sz="4" w:space="0" w:color="auto"/>
              <w:left w:val="single" w:sz="4" w:space="0" w:color="auto"/>
              <w:bottom w:val="single" w:sz="4" w:space="0" w:color="auto"/>
              <w:right w:val="single" w:sz="4" w:space="0" w:color="auto"/>
            </w:tcBorders>
          </w:tcPr>
          <w:p w:rsidR="002A3F61" w:rsidRDefault="002A3F61">
            <w:pPr>
              <w:spacing w:line="228" w:lineRule="exact"/>
              <w:jc w:val="center"/>
              <w:rPr>
                <w:b/>
                <w:bCs/>
                <w:sz w:val="20"/>
                <w:szCs w:val="20"/>
              </w:rPr>
            </w:pPr>
            <w:r>
              <w:rPr>
                <w:b/>
                <w:bCs/>
                <w:sz w:val="20"/>
                <w:szCs w:val="20"/>
              </w:rPr>
              <w:t>TAMAMLAMA</w:t>
            </w:r>
            <w:r>
              <w:rPr>
                <w:b/>
                <w:bCs/>
                <w:sz w:val="20"/>
                <w:szCs w:val="20"/>
              </w:rPr>
              <w:br/>
              <w:t>SÜRESİ (EN</w:t>
            </w:r>
            <w:r>
              <w:rPr>
                <w:b/>
                <w:bCs/>
                <w:sz w:val="20"/>
                <w:szCs w:val="20"/>
              </w:rPr>
              <w:br/>
              <w:t>GEÇ)</w:t>
            </w:r>
          </w:p>
        </w:tc>
      </w:tr>
      <w:tr w:rsidR="002A3F61">
        <w:tblPrEx>
          <w:tblCellMar>
            <w:top w:w="0" w:type="dxa"/>
            <w:left w:w="0" w:type="dxa"/>
            <w:bottom w:w="0" w:type="dxa"/>
            <w:right w:w="0" w:type="dxa"/>
          </w:tblCellMar>
        </w:tblPrEx>
        <w:trPr>
          <w:trHeight w:hRule="exact" w:val="10670"/>
        </w:trPr>
        <w:tc>
          <w:tcPr>
            <w:tcW w:w="706" w:type="dxa"/>
            <w:tcBorders>
              <w:top w:val="single" w:sz="4" w:space="0" w:color="auto"/>
              <w:left w:val="single" w:sz="4" w:space="0" w:color="auto"/>
              <w:bottom w:val="single" w:sz="4" w:space="0" w:color="auto"/>
              <w:right w:val="single" w:sz="4" w:space="0" w:color="auto"/>
            </w:tcBorders>
          </w:tcPr>
          <w:p w:rsidR="002A3F61" w:rsidRDefault="002A3F61">
            <w:pPr>
              <w:spacing w:before="3704" w:after="6736" w:line="225" w:lineRule="exact"/>
              <w:ind w:right="230"/>
              <w:jc w:val="right"/>
              <w:rPr>
                <w:b/>
                <w:bCs/>
                <w:sz w:val="20"/>
                <w:szCs w:val="20"/>
              </w:rPr>
            </w:pPr>
            <w:r>
              <w:rPr>
                <w:b/>
                <w:bCs/>
                <w:sz w:val="20"/>
                <w:szCs w:val="20"/>
              </w:rPr>
              <w:t>1</w:t>
            </w:r>
          </w:p>
        </w:tc>
        <w:tc>
          <w:tcPr>
            <w:tcW w:w="1704" w:type="dxa"/>
            <w:gridSpan w:val="2"/>
            <w:tcBorders>
              <w:top w:val="single" w:sz="4" w:space="0" w:color="auto"/>
              <w:left w:val="single" w:sz="4" w:space="0" w:color="auto"/>
              <w:bottom w:val="single" w:sz="4" w:space="0" w:color="auto"/>
              <w:right w:val="single" w:sz="4" w:space="0" w:color="auto"/>
            </w:tcBorders>
          </w:tcPr>
          <w:p w:rsidR="002A3F61" w:rsidRDefault="002A3F61">
            <w:pPr>
              <w:spacing w:before="3240" w:after="6280" w:line="229" w:lineRule="exact"/>
              <w:ind w:left="108" w:right="108"/>
              <w:rPr>
                <w:b/>
                <w:bCs/>
                <w:sz w:val="20"/>
                <w:szCs w:val="20"/>
              </w:rPr>
            </w:pPr>
            <w:r>
              <w:rPr>
                <w:b/>
                <w:bCs/>
                <w:sz w:val="20"/>
                <w:szCs w:val="20"/>
              </w:rPr>
              <w:t>Yangın Söndürme Cihazlarının Dolum, Bakım ve Kontrolleri</w:t>
            </w:r>
          </w:p>
        </w:tc>
        <w:tc>
          <w:tcPr>
            <w:tcW w:w="7089" w:type="dxa"/>
            <w:gridSpan w:val="3"/>
            <w:tcBorders>
              <w:top w:val="single" w:sz="4" w:space="0" w:color="auto"/>
              <w:left w:val="single" w:sz="4" w:space="0" w:color="auto"/>
              <w:bottom w:val="single" w:sz="4" w:space="0" w:color="auto"/>
              <w:right w:val="single" w:sz="4" w:space="0" w:color="auto"/>
            </w:tcBorders>
          </w:tcPr>
          <w:p w:rsidR="002A3F61" w:rsidRDefault="002A3F61">
            <w:pPr>
              <w:spacing w:line="230" w:lineRule="exact"/>
              <w:ind w:left="144" w:right="108"/>
              <w:jc w:val="both"/>
              <w:rPr>
                <w:sz w:val="20"/>
                <w:szCs w:val="20"/>
              </w:rPr>
            </w:pPr>
            <w:r>
              <w:rPr>
                <w:sz w:val="20"/>
                <w:szCs w:val="20"/>
              </w:rPr>
              <w:t>İl Emniyet Müdürlüğü Merkez Teşkilatında bulunan Yangın Söndürme Cihazlarının Dolum, Bakım ve Kontrolleri için yetkili firma ile düzenlenen şartname ve istenilen belgeler;</w:t>
            </w:r>
          </w:p>
          <w:p w:rsidR="002A3F61" w:rsidRDefault="002A3F61">
            <w:pPr>
              <w:spacing w:before="1" w:line="229" w:lineRule="exact"/>
              <w:ind w:left="144" w:right="108"/>
              <w:jc w:val="both"/>
              <w:rPr>
                <w:sz w:val="20"/>
                <w:szCs w:val="20"/>
              </w:rPr>
            </w:pPr>
            <w:r>
              <w:rPr>
                <w:b/>
                <w:bCs/>
                <w:sz w:val="20"/>
                <w:szCs w:val="20"/>
              </w:rPr>
              <w:t>1-</w:t>
            </w:r>
            <w:r>
              <w:rPr>
                <w:sz w:val="20"/>
                <w:szCs w:val="20"/>
              </w:rPr>
              <w:t xml:space="preserve">Bütün arabalı yangın söndürücüler </w:t>
            </w:r>
            <w:r>
              <w:rPr>
                <w:b/>
                <w:bCs/>
                <w:sz w:val="20"/>
                <w:szCs w:val="20"/>
              </w:rPr>
              <w:t xml:space="preserve">TS 11749-EN 1866 </w:t>
            </w:r>
            <w:r>
              <w:rPr>
                <w:sz w:val="20"/>
                <w:szCs w:val="20"/>
              </w:rPr>
              <w:t xml:space="preserve">kalite belgeli olacak ve diğer taşınabilir yangın söndürme tüpleri </w:t>
            </w:r>
            <w:r>
              <w:rPr>
                <w:b/>
                <w:bCs/>
                <w:sz w:val="20"/>
                <w:szCs w:val="20"/>
              </w:rPr>
              <w:t xml:space="preserve">TS 862-EN 3 </w:t>
            </w:r>
            <w:r>
              <w:rPr>
                <w:sz w:val="20"/>
                <w:szCs w:val="20"/>
              </w:rPr>
              <w:t>kalite belgeli olacaktır.</w:t>
            </w:r>
          </w:p>
          <w:p w:rsidR="002A3F61" w:rsidRDefault="002A3F61">
            <w:pPr>
              <w:spacing w:line="229" w:lineRule="exact"/>
              <w:ind w:left="144" w:right="108"/>
              <w:rPr>
                <w:spacing w:val="-1"/>
                <w:sz w:val="20"/>
                <w:szCs w:val="20"/>
              </w:rPr>
            </w:pPr>
            <w:r>
              <w:rPr>
                <w:b/>
                <w:bCs/>
                <w:spacing w:val="-1"/>
                <w:sz w:val="20"/>
                <w:szCs w:val="20"/>
              </w:rPr>
              <w:t>2-</w:t>
            </w:r>
            <w:r>
              <w:rPr>
                <w:spacing w:val="-1"/>
                <w:sz w:val="20"/>
                <w:szCs w:val="20"/>
              </w:rPr>
              <w:t xml:space="preserve">Dolum yapılan yeni alınan kuru kimyevi tozlu, karbondioksitli ve halokarbon yangın söndürme cihazları 4 (Dört) Yıl yetkili firma tarafından garanti altına alınacaktır. </w:t>
            </w:r>
            <w:r>
              <w:rPr>
                <w:b/>
                <w:bCs/>
                <w:spacing w:val="-1"/>
                <w:sz w:val="20"/>
                <w:szCs w:val="20"/>
              </w:rPr>
              <w:t>3-</w:t>
            </w:r>
            <w:r>
              <w:rPr>
                <w:spacing w:val="-1"/>
                <w:sz w:val="20"/>
                <w:szCs w:val="20"/>
              </w:rPr>
              <w:t xml:space="preserve">Dolum yapılacak olan cihazlar Sivil Savunma Uzmanlığında görevli personelin nezaretinde yetkili firma tarafından yerlerinden alınıp, kendi teknik personeli tarafından dolum ve bakımı yapıldıktan sonra tekrar yerine yerleştirilecektir. </w:t>
            </w:r>
            <w:r>
              <w:rPr>
                <w:b/>
                <w:bCs/>
                <w:spacing w:val="-1"/>
                <w:sz w:val="20"/>
                <w:szCs w:val="20"/>
              </w:rPr>
              <w:t>4-</w:t>
            </w:r>
            <w:r>
              <w:rPr>
                <w:spacing w:val="-1"/>
                <w:sz w:val="20"/>
                <w:szCs w:val="20"/>
              </w:rPr>
              <w:t>Dolum esnasında arızalı çıkan parçalar Sivil Savunma Uzmanlığının bilgisi dahilinde ücretli olarak değiştirilecektir.</w:t>
            </w:r>
          </w:p>
          <w:p w:rsidR="002A3F61" w:rsidRDefault="002A3F61">
            <w:pPr>
              <w:spacing w:before="1" w:line="268" w:lineRule="exact"/>
              <w:ind w:left="144" w:right="108"/>
              <w:jc w:val="both"/>
              <w:rPr>
                <w:sz w:val="20"/>
                <w:szCs w:val="20"/>
              </w:rPr>
            </w:pPr>
            <w:r>
              <w:rPr>
                <w:b/>
                <w:bCs/>
                <w:sz w:val="20"/>
                <w:szCs w:val="20"/>
              </w:rPr>
              <w:t>5-</w:t>
            </w:r>
            <w:r>
              <w:rPr>
                <w:sz w:val="20"/>
                <w:szCs w:val="20"/>
              </w:rPr>
              <w:t xml:space="preserve">Yangın söndürücülerin periyodik kontrolü ve bakımı firma elemanlarınca </w:t>
            </w:r>
            <w:r>
              <w:rPr>
                <w:rFonts w:ascii="Calibri" w:hAnsi="Calibri" w:cs="Calibri"/>
                <w:b/>
                <w:bCs/>
                <w:sz w:val="22"/>
                <w:szCs w:val="22"/>
              </w:rPr>
              <w:t xml:space="preserve">TS ISO 11602-2 </w:t>
            </w:r>
            <w:r>
              <w:rPr>
                <w:sz w:val="20"/>
                <w:szCs w:val="20"/>
              </w:rPr>
              <w:t xml:space="preserve">standartlarına göre </w:t>
            </w:r>
            <w:r>
              <w:rPr>
                <w:b/>
                <w:bCs/>
                <w:sz w:val="20"/>
                <w:szCs w:val="20"/>
              </w:rPr>
              <w:t xml:space="preserve">6 Ayda </w:t>
            </w:r>
            <w:r>
              <w:rPr>
                <w:sz w:val="20"/>
                <w:szCs w:val="20"/>
              </w:rPr>
              <w:t>bir yapılacak.</w:t>
            </w:r>
          </w:p>
          <w:p w:rsidR="002A3F61" w:rsidRDefault="002A3F61">
            <w:pPr>
              <w:spacing w:line="229" w:lineRule="exact"/>
              <w:ind w:left="144" w:right="108"/>
              <w:jc w:val="both"/>
              <w:rPr>
                <w:sz w:val="20"/>
                <w:szCs w:val="20"/>
              </w:rPr>
            </w:pPr>
            <w:r>
              <w:rPr>
                <w:b/>
                <w:bCs/>
                <w:sz w:val="20"/>
                <w:szCs w:val="20"/>
              </w:rPr>
              <w:t>6-</w:t>
            </w:r>
            <w:r>
              <w:rPr>
                <w:sz w:val="20"/>
                <w:szCs w:val="20"/>
              </w:rPr>
              <w:t>Dolum yapılan cihazların garanti süresi içerisinde gerek malzeme ve işçilik, gerekse montaj hatalarından dolayı arızalanması durumunda işçilik masrafı, değiştirilen parça bedeli veya herhangi bir ad altında ücret talep edilmeyecek, Tamir veya yenileme işlemi ücretsiz olarak yapılacaktır.</w:t>
            </w:r>
          </w:p>
          <w:p w:rsidR="002A3F61" w:rsidRDefault="002A3F61">
            <w:pPr>
              <w:spacing w:line="229" w:lineRule="exact"/>
              <w:ind w:left="144" w:right="108"/>
              <w:jc w:val="both"/>
              <w:rPr>
                <w:sz w:val="20"/>
                <w:szCs w:val="20"/>
              </w:rPr>
            </w:pPr>
            <w:r>
              <w:rPr>
                <w:b/>
                <w:bCs/>
                <w:sz w:val="20"/>
                <w:szCs w:val="20"/>
              </w:rPr>
              <w:t>7-</w:t>
            </w:r>
            <w:r>
              <w:rPr>
                <w:sz w:val="20"/>
                <w:szCs w:val="20"/>
              </w:rPr>
              <w:t xml:space="preserve">Cihazların garanti süresi içerisinde arızalanması durumunda tamirde geçen süre garanti süresine eklenecektir. (Tamir süresi </w:t>
            </w:r>
            <w:r>
              <w:rPr>
                <w:b/>
                <w:bCs/>
                <w:sz w:val="20"/>
                <w:szCs w:val="20"/>
              </w:rPr>
              <w:t>15 iş günüdür</w:t>
            </w:r>
            <w:r>
              <w:rPr>
                <w:sz w:val="20"/>
                <w:szCs w:val="20"/>
              </w:rPr>
              <w:t>, bu süre servis istasyonuna bildirim tarihinden itibaren başlar)</w:t>
            </w:r>
          </w:p>
          <w:p w:rsidR="002A3F61" w:rsidRDefault="002A3F61">
            <w:pPr>
              <w:spacing w:before="1" w:line="229" w:lineRule="exact"/>
              <w:ind w:left="144" w:right="108"/>
              <w:jc w:val="both"/>
              <w:rPr>
                <w:sz w:val="20"/>
                <w:szCs w:val="20"/>
              </w:rPr>
            </w:pPr>
            <w:r>
              <w:rPr>
                <w:b/>
                <w:bCs/>
                <w:sz w:val="20"/>
                <w:szCs w:val="20"/>
              </w:rPr>
              <w:t>8-</w:t>
            </w:r>
            <w:r>
              <w:rPr>
                <w:sz w:val="20"/>
                <w:szCs w:val="20"/>
              </w:rPr>
              <w:t>Dolum yapılan cihazlarla ilgili personeli eğitmek ve cihazları denemek amacı ile yangın tatbikatı yapılacak, boşalan cihazlar yetkili firma tarafından ücretsiz olarak doldurulacaktır.</w:t>
            </w:r>
          </w:p>
          <w:p w:rsidR="002A3F61" w:rsidRDefault="002A3F61">
            <w:pPr>
              <w:spacing w:line="230" w:lineRule="exact"/>
              <w:ind w:left="144" w:right="108"/>
              <w:jc w:val="both"/>
              <w:rPr>
                <w:sz w:val="20"/>
                <w:szCs w:val="20"/>
              </w:rPr>
            </w:pPr>
            <w:r>
              <w:rPr>
                <w:b/>
                <w:bCs/>
                <w:sz w:val="20"/>
                <w:szCs w:val="20"/>
              </w:rPr>
              <w:t>9-</w:t>
            </w:r>
            <w:r>
              <w:rPr>
                <w:sz w:val="20"/>
                <w:szCs w:val="20"/>
              </w:rPr>
              <w:t xml:space="preserve">Dolumu yapılan cihazların üzerine jelatinli kullanma ve kontrol kartı takılacaktır. </w:t>
            </w:r>
            <w:r>
              <w:rPr>
                <w:b/>
                <w:bCs/>
                <w:sz w:val="20"/>
                <w:szCs w:val="20"/>
              </w:rPr>
              <w:t>10-</w:t>
            </w:r>
            <w:r>
              <w:rPr>
                <w:sz w:val="20"/>
                <w:szCs w:val="20"/>
              </w:rPr>
              <w:t>İl Emniyet Müdürlüğümüz ana hizmet binası, ana hizmet binası dışında faaliyetlerini sürdüren birimler ile Seyhan, Çukurova, Yüreğir, Sarıçam İlçe Emniyet Müdürlükleri ve bağlı Polis Merkezi Amirlikleri hizmet binalarında meydana gelebilecek olası yangın esnasında dolumu yapılan yangın söndürme cihazlarının çalışmaması durumunda bütün sorumluluk doldurucu firmaya aittir.</w:t>
            </w:r>
          </w:p>
          <w:p w:rsidR="002A3F61" w:rsidRDefault="002A3F61">
            <w:pPr>
              <w:spacing w:line="230" w:lineRule="exact"/>
              <w:ind w:left="144" w:right="108"/>
              <w:jc w:val="both"/>
              <w:rPr>
                <w:spacing w:val="-2"/>
                <w:sz w:val="20"/>
                <w:szCs w:val="20"/>
              </w:rPr>
            </w:pPr>
            <w:r>
              <w:rPr>
                <w:b/>
                <w:bCs/>
                <w:spacing w:val="-2"/>
                <w:sz w:val="20"/>
                <w:szCs w:val="20"/>
              </w:rPr>
              <w:t>11-</w:t>
            </w:r>
            <w:r>
              <w:rPr>
                <w:spacing w:val="-2"/>
                <w:sz w:val="20"/>
                <w:szCs w:val="20"/>
              </w:rPr>
              <w:t>Dolumu yapılan cihazlarla ilgili şikâyetler hususunda Sivil Savunma Uzmanlığınca firma ile görüşüldüğünde firma tarafından vakit kaybetmeden bir yetkili göndererek gereken yapılacaktır.</w:t>
            </w:r>
          </w:p>
          <w:p w:rsidR="002A3F61" w:rsidRDefault="002A3F61">
            <w:pPr>
              <w:spacing w:before="1" w:line="230" w:lineRule="exact"/>
              <w:ind w:left="144" w:right="108"/>
              <w:rPr>
                <w:sz w:val="20"/>
                <w:szCs w:val="20"/>
              </w:rPr>
            </w:pPr>
            <w:r>
              <w:rPr>
                <w:b/>
                <w:bCs/>
                <w:sz w:val="20"/>
                <w:szCs w:val="20"/>
              </w:rPr>
              <w:t>12-</w:t>
            </w:r>
            <w:r>
              <w:rPr>
                <w:sz w:val="20"/>
                <w:szCs w:val="20"/>
              </w:rPr>
              <w:t xml:space="preserve">Cihazların alımı ve dolumundu kullanılacak kuru kimyevi yangın söndürme tozu </w:t>
            </w:r>
            <w:r>
              <w:rPr>
                <w:b/>
                <w:bCs/>
                <w:sz w:val="20"/>
                <w:szCs w:val="20"/>
              </w:rPr>
              <w:t xml:space="preserve">TS-EN 615 </w:t>
            </w:r>
            <w:r>
              <w:rPr>
                <w:sz w:val="20"/>
                <w:szCs w:val="20"/>
              </w:rPr>
              <w:t xml:space="preserve">standartlarında </w:t>
            </w:r>
            <w:r>
              <w:rPr>
                <w:b/>
                <w:bCs/>
                <w:sz w:val="20"/>
                <w:szCs w:val="20"/>
              </w:rPr>
              <w:t xml:space="preserve">ABC 90 </w:t>
            </w:r>
            <w:r>
              <w:rPr>
                <w:sz w:val="20"/>
                <w:szCs w:val="20"/>
              </w:rPr>
              <w:t xml:space="preserve">işaretli </w:t>
            </w:r>
            <w:r>
              <w:rPr>
                <w:b/>
                <w:bCs/>
                <w:sz w:val="20"/>
                <w:szCs w:val="20"/>
              </w:rPr>
              <w:t>(%90 MAP</w:t>
            </w:r>
            <w:r>
              <w:rPr>
                <w:sz w:val="20"/>
                <w:szCs w:val="20"/>
              </w:rPr>
              <w:t>) oranından az olmayacak ve ithal toz (Furex) kullanılacaktır.</w:t>
            </w:r>
          </w:p>
          <w:p w:rsidR="002A3F61" w:rsidRDefault="002A3F61">
            <w:pPr>
              <w:spacing w:before="1" w:line="230" w:lineRule="exact"/>
              <w:ind w:left="144" w:right="108"/>
              <w:jc w:val="both"/>
              <w:rPr>
                <w:sz w:val="20"/>
                <w:szCs w:val="20"/>
              </w:rPr>
            </w:pPr>
            <w:r>
              <w:rPr>
                <w:b/>
                <w:bCs/>
                <w:sz w:val="20"/>
                <w:szCs w:val="20"/>
              </w:rPr>
              <w:t>13-</w:t>
            </w:r>
            <w:r>
              <w:rPr>
                <w:sz w:val="20"/>
                <w:szCs w:val="20"/>
              </w:rPr>
              <w:t xml:space="preserve">Karbondioksitli tüplerde söndürücü maddesi </w:t>
            </w:r>
            <w:r>
              <w:rPr>
                <w:b/>
                <w:bCs/>
                <w:sz w:val="20"/>
                <w:szCs w:val="20"/>
              </w:rPr>
              <w:t xml:space="preserve">TS 11339 EN 25923 </w:t>
            </w:r>
            <w:r>
              <w:rPr>
                <w:sz w:val="20"/>
                <w:szCs w:val="20"/>
              </w:rPr>
              <w:t>norm ve standartlarına uygun olacaktır.</w:t>
            </w:r>
          </w:p>
          <w:p w:rsidR="002A3F61" w:rsidRDefault="002A3F61">
            <w:pPr>
              <w:spacing w:before="1" w:line="229" w:lineRule="exact"/>
              <w:ind w:left="144" w:right="108"/>
              <w:jc w:val="both"/>
              <w:rPr>
                <w:sz w:val="20"/>
                <w:szCs w:val="20"/>
              </w:rPr>
            </w:pPr>
            <w:r>
              <w:rPr>
                <w:b/>
                <w:bCs/>
                <w:sz w:val="20"/>
                <w:szCs w:val="20"/>
              </w:rPr>
              <w:t>14-</w:t>
            </w:r>
            <w:r>
              <w:rPr>
                <w:sz w:val="20"/>
                <w:szCs w:val="20"/>
              </w:rPr>
              <w:t>Holokarbonlu yangın söndürme cihazlarında doğaya, elektronik malzemelere zarar vermeyen, kullanıldıktan sonra geriye leke, koku ve atık madde bırakmayan homojenleştirilmiş hidrokarbon HCFC gazı kullanılacaktır.</w:t>
            </w:r>
          </w:p>
          <w:p w:rsidR="002A3F61" w:rsidRDefault="002A3F61">
            <w:pPr>
              <w:spacing w:line="229" w:lineRule="exact"/>
              <w:ind w:left="144" w:right="108"/>
              <w:rPr>
                <w:sz w:val="20"/>
                <w:szCs w:val="20"/>
              </w:rPr>
            </w:pPr>
            <w:r>
              <w:rPr>
                <w:b/>
                <w:bCs/>
                <w:sz w:val="20"/>
                <w:szCs w:val="20"/>
              </w:rPr>
              <w:t>15-</w:t>
            </w:r>
            <w:r>
              <w:rPr>
                <w:sz w:val="20"/>
                <w:szCs w:val="20"/>
              </w:rPr>
              <w:t xml:space="preserve">Köpüklü yangın söndürme cihazlarına konulan söndürücü madde katı, sıvı ve gaz yangınlarında etkili olan </w:t>
            </w:r>
            <w:r>
              <w:rPr>
                <w:b/>
                <w:bCs/>
                <w:sz w:val="20"/>
                <w:szCs w:val="20"/>
              </w:rPr>
              <w:t xml:space="preserve">FOM köpük AFF’li protein </w:t>
            </w:r>
            <w:r>
              <w:rPr>
                <w:sz w:val="20"/>
                <w:szCs w:val="20"/>
              </w:rPr>
              <w:t>esaslı söndürücü olacaktır. (% 3-% 6)</w:t>
            </w:r>
          </w:p>
          <w:p w:rsidR="002A3F61" w:rsidRDefault="002A3F61">
            <w:pPr>
              <w:spacing w:before="1" w:after="227" w:line="230" w:lineRule="exact"/>
              <w:ind w:left="144"/>
              <w:rPr>
                <w:sz w:val="20"/>
                <w:szCs w:val="20"/>
              </w:rPr>
            </w:pPr>
            <w:r>
              <w:rPr>
                <w:b/>
                <w:bCs/>
                <w:sz w:val="20"/>
                <w:szCs w:val="20"/>
              </w:rPr>
              <w:t>16-</w:t>
            </w:r>
            <w:r>
              <w:rPr>
                <w:sz w:val="20"/>
                <w:szCs w:val="20"/>
              </w:rPr>
              <w:t xml:space="preserve">Bu sözleşme şartlar dahilinde </w:t>
            </w:r>
            <w:r>
              <w:rPr>
                <w:b/>
                <w:bCs/>
                <w:sz w:val="20"/>
                <w:szCs w:val="20"/>
              </w:rPr>
              <w:t xml:space="preserve">4 (Dört) Yıl </w:t>
            </w:r>
            <w:r>
              <w:rPr>
                <w:sz w:val="20"/>
                <w:szCs w:val="20"/>
              </w:rPr>
              <w:t>geçerlidir.</w:t>
            </w:r>
          </w:p>
        </w:tc>
        <w:tc>
          <w:tcPr>
            <w:tcW w:w="1718" w:type="dxa"/>
            <w:tcBorders>
              <w:top w:val="single" w:sz="4" w:space="0" w:color="auto"/>
              <w:left w:val="single" w:sz="4" w:space="0" w:color="auto"/>
              <w:bottom w:val="single" w:sz="4" w:space="0" w:color="auto"/>
              <w:right w:val="single" w:sz="4" w:space="0" w:color="auto"/>
            </w:tcBorders>
          </w:tcPr>
          <w:p w:rsidR="002A3F61" w:rsidRDefault="002A3F61">
            <w:pPr>
              <w:spacing w:before="3694" w:after="6736" w:line="235" w:lineRule="exact"/>
              <w:jc w:val="center"/>
              <w:rPr>
                <w:b/>
                <w:bCs/>
                <w:spacing w:val="-1"/>
                <w:sz w:val="20"/>
                <w:szCs w:val="20"/>
              </w:rPr>
            </w:pPr>
            <w:r>
              <w:rPr>
                <w:b/>
                <w:bCs/>
                <w:spacing w:val="-1"/>
                <w:sz w:val="20"/>
                <w:szCs w:val="20"/>
              </w:rPr>
              <w:t>60 GÜN</w:t>
            </w:r>
          </w:p>
        </w:tc>
      </w:tr>
      <w:tr w:rsidR="002A3F61">
        <w:tblPrEx>
          <w:tblCellMar>
            <w:top w:w="0" w:type="dxa"/>
            <w:left w:w="0" w:type="dxa"/>
            <w:bottom w:w="0" w:type="dxa"/>
            <w:right w:w="0" w:type="dxa"/>
          </w:tblCellMar>
        </w:tblPrEx>
        <w:trPr>
          <w:trHeight w:hRule="exact" w:val="811"/>
        </w:trPr>
        <w:tc>
          <w:tcPr>
            <w:tcW w:w="11217" w:type="dxa"/>
            <w:gridSpan w:val="7"/>
            <w:tcBorders>
              <w:top w:val="single" w:sz="4" w:space="0" w:color="auto"/>
              <w:left w:val="single" w:sz="4" w:space="0" w:color="auto"/>
              <w:bottom w:val="single" w:sz="4" w:space="0" w:color="auto"/>
              <w:right w:val="single" w:sz="4" w:space="0" w:color="auto"/>
            </w:tcBorders>
          </w:tcPr>
          <w:p w:rsidR="002A3F61" w:rsidRDefault="002A3F61">
            <w:pPr>
              <w:spacing w:after="100" w:line="230" w:lineRule="exact"/>
              <w:ind w:left="108" w:right="432"/>
              <w:rPr>
                <w:b/>
                <w:bCs/>
                <w:sz w:val="20"/>
                <w:szCs w:val="20"/>
              </w:rPr>
            </w:pPr>
            <w:r>
              <w:rPr>
                <w:b/>
                <w:bCs/>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2A3F61">
        <w:tblPrEx>
          <w:tblCellMar>
            <w:top w:w="0" w:type="dxa"/>
            <w:left w:w="0" w:type="dxa"/>
            <w:bottom w:w="0" w:type="dxa"/>
            <w:right w:w="0" w:type="dxa"/>
          </w:tblCellMar>
        </w:tblPrEx>
        <w:trPr>
          <w:trHeight w:hRule="exact" w:val="471"/>
        </w:trPr>
        <w:tc>
          <w:tcPr>
            <w:tcW w:w="5712" w:type="dxa"/>
            <w:gridSpan w:val="4"/>
            <w:tcBorders>
              <w:top w:val="single" w:sz="4" w:space="0" w:color="auto"/>
              <w:left w:val="single" w:sz="4" w:space="0" w:color="auto"/>
              <w:bottom w:val="single" w:sz="4" w:space="0" w:color="auto"/>
              <w:right w:val="single" w:sz="4" w:space="0" w:color="auto"/>
            </w:tcBorders>
            <w:vAlign w:val="bottom"/>
          </w:tcPr>
          <w:p w:rsidR="002A3F61" w:rsidRDefault="002A3F61">
            <w:pPr>
              <w:spacing w:before="243" w:line="222" w:lineRule="exact"/>
              <w:jc w:val="center"/>
              <w:rPr>
                <w:b/>
                <w:bCs/>
                <w:sz w:val="20"/>
                <w:szCs w:val="20"/>
              </w:rPr>
            </w:pPr>
            <w:r>
              <w:rPr>
                <w:b/>
                <w:bCs/>
                <w:sz w:val="20"/>
                <w:szCs w:val="20"/>
              </w:rPr>
              <w:t>İLK MÜRACAAT YERİ</w:t>
            </w:r>
          </w:p>
        </w:tc>
        <w:tc>
          <w:tcPr>
            <w:tcW w:w="5505" w:type="dxa"/>
            <w:gridSpan w:val="3"/>
            <w:tcBorders>
              <w:top w:val="single" w:sz="4" w:space="0" w:color="auto"/>
              <w:left w:val="single" w:sz="4" w:space="0" w:color="auto"/>
              <w:bottom w:val="single" w:sz="4" w:space="0" w:color="auto"/>
              <w:right w:val="single" w:sz="4" w:space="0" w:color="auto"/>
            </w:tcBorders>
            <w:vAlign w:val="bottom"/>
          </w:tcPr>
          <w:p w:rsidR="002A3F61" w:rsidRDefault="002A3F61">
            <w:pPr>
              <w:spacing w:before="243" w:line="222" w:lineRule="exact"/>
              <w:ind w:right="1467"/>
              <w:jc w:val="right"/>
              <w:rPr>
                <w:b/>
                <w:bCs/>
                <w:sz w:val="20"/>
                <w:szCs w:val="20"/>
              </w:rPr>
            </w:pPr>
            <w:r>
              <w:rPr>
                <w:b/>
                <w:bCs/>
                <w:sz w:val="20"/>
                <w:szCs w:val="20"/>
              </w:rPr>
              <w:t>İKİNCİ MÜRACAAT YERİ</w:t>
            </w:r>
          </w:p>
        </w:tc>
      </w:tr>
      <w:tr w:rsidR="00E33578">
        <w:tblPrEx>
          <w:tblCellMar>
            <w:top w:w="0" w:type="dxa"/>
            <w:left w:w="0" w:type="dxa"/>
            <w:bottom w:w="0" w:type="dxa"/>
            <w:right w:w="0" w:type="dxa"/>
          </w:tblCellMar>
        </w:tblPrEx>
        <w:trPr>
          <w:trHeight w:hRule="exact" w:val="437"/>
        </w:trPr>
        <w:tc>
          <w:tcPr>
            <w:tcW w:w="1570" w:type="dxa"/>
            <w:gridSpan w:val="2"/>
            <w:tcBorders>
              <w:top w:val="single" w:sz="4" w:space="0" w:color="auto"/>
              <w:left w:val="single" w:sz="4" w:space="0" w:color="auto"/>
              <w:bottom w:val="single" w:sz="4" w:space="0" w:color="auto"/>
              <w:right w:val="single" w:sz="4" w:space="0" w:color="auto"/>
            </w:tcBorders>
          </w:tcPr>
          <w:p w:rsidR="00E33578" w:rsidRDefault="00E33578" w:rsidP="00E33578">
            <w:pPr>
              <w:spacing w:after="179" w:line="225" w:lineRule="exact"/>
              <w:ind w:left="110"/>
              <w:rPr>
                <w:b/>
                <w:bCs/>
                <w:spacing w:val="2"/>
                <w:sz w:val="20"/>
                <w:szCs w:val="20"/>
              </w:rPr>
            </w:pPr>
            <w:r>
              <w:rPr>
                <w:b/>
                <w:bCs/>
                <w:spacing w:val="2"/>
                <w:sz w:val="20"/>
                <w:szCs w:val="20"/>
              </w:rPr>
              <w:t>ADI SOYADI</w:t>
            </w:r>
          </w:p>
        </w:tc>
        <w:tc>
          <w:tcPr>
            <w:tcW w:w="4142" w:type="dxa"/>
            <w:gridSpan w:val="2"/>
            <w:tcBorders>
              <w:top w:val="single" w:sz="4" w:space="0" w:color="auto"/>
              <w:left w:val="single" w:sz="4" w:space="0" w:color="auto"/>
              <w:bottom w:val="single" w:sz="4" w:space="0" w:color="auto"/>
              <w:right w:val="single" w:sz="4" w:space="0" w:color="auto"/>
            </w:tcBorders>
          </w:tcPr>
          <w:p w:rsidR="00E33578" w:rsidRDefault="00E33578" w:rsidP="00E33578">
            <w:pPr>
              <w:spacing w:after="186" w:line="230" w:lineRule="exact"/>
              <w:ind w:left="105"/>
              <w:rPr>
                <w:sz w:val="20"/>
                <w:szCs w:val="20"/>
              </w:rPr>
            </w:pPr>
            <w:r>
              <w:rPr>
                <w:sz w:val="20"/>
                <w:szCs w:val="20"/>
              </w:rPr>
              <w:t>İbrahim ERGÜDER</w:t>
            </w:r>
          </w:p>
        </w:tc>
        <w:tc>
          <w:tcPr>
            <w:tcW w:w="1512" w:type="dxa"/>
            <w:tcBorders>
              <w:top w:val="single" w:sz="4" w:space="0" w:color="auto"/>
              <w:left w:val="single" w:sz="4" w:space="0" w:color="auto"/>
              <w:bottom w:val="single" w:sz="4" w:space="0" w:color="auto"/>
              <w:right w:val="single" w:sz="4" w:space="0" w:color="auto"/>
            </w:tcBorders>
          </w:tcPr>
          <w:p w:rsidR="00E33578" w:rsidRDefault="00E33578" w:rsidP="00E33578">
            <w:pPr>
              <w:spacing w:after="179" w:line="225" w:lineRule="exact"/>
              <w:ind w:left="110"/>
              <w:rPr>
                <w:b/>
                <w:bCs/>
                <w:spacing w:val="2"/>
                <w:sz w:val="20"/>
                <w:szCs w:val="20"/>
              </w:rPr>
            </w:pPr>
            <w:r>
              <w:rPr>
                <w:b/>
                <w:bCs/>
                <w:spacing w:val="2"/>
                <w:sz w:val="20"/>
                <w:szCs w:val="20"/>
              </w:rPr>
              <w:t>ADI SOYADI</w:t>
            </w:r>
          </w:p>
        </w:tc>
        <w:tc>
          <w:tcPr>
            <w:tcW w:w="3993" w:type="dxa"/>
            <w:gridSpan w:val="2"/>
            <w:tcBorders>
              <w:top w:val="single" w:sz="4" w:space="0" w:color="auto"/>
              <w:left w:val="single" w:sz="4" w:space="0" w:color="auto"/>
              <w:bottom w:val="single" w:sz="4" w:space="0" w:color="auto"/>
              <w:right w:val="single" w:sz="4" w:space="0" w:color="auto"/>
            </w:tcBorders>
          </w:tcPr>
          <w:p w:rsidR="00E33578" w:rsidRDefault="00E33578" w:rsidP="00E33578">
            <w:pPr>
              <w:spacing w:after="184" w:line="225" w:lineRule="exact"/>
              <w:ind w:left="110"/>
              <w:rPr>
                <w:sz w:val="20"/>
                <w:szCs w:val="20"/>
              </w:rPr>
            </w:pPr>
            <w:r>
              <w:rPr>
                <w:sz w:val="20"/>
                <w:szCs w:val="20"/>
              </w:rPr>
              <w:t>Ayhan AKPAY</w:t>
            </w:r>
          </w:p>
        </w:tc>
      </w:tr>
      <w:tr w:rsidR="002A3F61">
        <w:tblPrEx>
          <w:tblCellMar>
            <w:top w:w="0" w:type="dxa"/>
            <w:left w:w="0" w:type="dxa"/>
            <w:bottom w:w="0" w:type="dxa"/>
            <w:right w:w="0" w:type="dxa"/>
          </w:tblCellMar>
        </w:tblPrEx>
        <w:trPr>
          <w:trHeight w:hRule="exact" w:val="427"/>
        </w:trPr>
        <w:tc>
          <w:tcPr>
            <w:tcW w:w="1570" w:type="dxa"/>
            <w:gridSpan w:val="2"/>
            <w:tcBorders>
              <w:top w:val="single" w:sz="4" w:space="0" w:color="auto"/>
              <w:left w:val="single" w:sz="4" w:space="0" w:color="auto"/>
              <w:bottom w:val="single" w:sz="4" w:space="0" w:color="auto"/>
              <w:right w:val="single" w:sz="4" w:space="0" w:color="auto"/>
            </w:tcBorders>
          </w:tcPr>
          <w:p w:rsidR="002A3F61" w:rsidRDefault="002A3F61">
            <w:pPr>
              <w:spacing w:after="177" w:line="232" w:lineRule="exact"/>
              <w:ind w:left="110"/>
              <w:rPr>
                <w:b/>
                <w:bCs/>
                <w:sz w:val="20"/>
                <w:szCs w:val="20"/>
              </w:rPr>
            </w:pPr>
            <w:r>
              <w:rPr>
                <w:b/>
                <w:bCs/>
                <w:sz w:val="20"/>
                <w:szCs w:val="20"/>
              </w:rPr>
              <w:t>ÜNVAN</w:t>
            </w:r>
          </w:p>
        </w:tc>
        <w:tc>
          <w:tcPr>
            <w:tcW w:w="4142" w:type="dxa"/>
            <w:gridSpan w:val="2"/>
            <w:tcBorders>
              <w:top w:val="single" w:sz="4" w:space="0" w:color="auto"/>
              <w:left w:val="single" w:sz="4" w:space="0" w:color="auto"/>
              <w:bottom w:val="single" w:sz="4" w:space="0" w:color="auto"/>
              <w:right w:val="single" w:sz="4" w:space="0" w:color="auto"/>
            </w:tcBorders>
          </w:tcPr>
          <w:p w:rsidR="002A3F61" w:rsidRDefault="00CF199E" w:rsidP="00CF199E">
            <w:pPr>
              <w:spacing w:after="181" w:line="230" w:lineRule="exact"/>
              <w:rPr>
                <w:sz w:val="20"/>
                <w:szCs w:val="20"/>
              </w:rPr>
            </w:pPr>
            <w:r>
              <w:rPr>
                <w:sz w:val="20"/>
                <w:szCs w:val="20"/>
              </w:rPr>
              <w:t>1.Sınıf Emniyet Müdürü</w:t>
            </w:r>
          </w:p>
        </w:tc>
        <w:tc>
          <w:tcPr>
            <w:tcW w:w="1512" w:type="dxa"/>
            <w:tcBorders>
              <w:top w:val="single" w:sz="4" w:space="0" w:color="auto"/>
              <w:left w:val="single" w:sz="4" w:space="0" w:color="auto"/>
              <w:bottom w:val="single" w:sz="4" w:space="0" w:color="auto"/>
              <w:right w:val="single" w:sz="4" w:space="0" w:color="auto"/>
            </w:tcBorders>
          </w:tcPr>
          <w:p w:rsidR="002A3F61" w:rsidRDefault="002A3F61">
            <w:pPr>
              <w:spacing w:after="177" w:line="232" w:lineRule="exact"/>
              <w:ind w:left="110"/>
              <w:rPr>
                <w:b/>
                <w:bCs/>
                <w:sz w:val="20"/>
                <w:szCs w:val="20"/>
              </w:rPr>
            </w:pPr>
            <w:r>
              <w:rPr>
                <w:b/>
                <w:bCs/>
                <w:sz w:val="20"/>
                <w:szCs w:val="20"/>
              </w:rPr>
              <w:t>ÜNVAN</w:t>
            </w:r>
          </w:p>
        </w:tc>
        <w:tc>
          <w:tcPr>
            <w:tcW w:w="3993" w:type="dxa"/>
            <w:gridSpan w:val="2"/>
            <w:tcBorders>
              <w:top w:val="single" w:sz="4" w:space="0" w:color="auto"/>
              <w:left w:val="single" w:sz="4" w:space="0" w:color="auto"/>
              <w:bottom w:val="single" w:sz="4" w:space="0" w:color="auto"/>
              <w:right w:val="single" w:sz="4" w:space="0" w:color="auto"/>
            </w:tcBorders>
          </w:tcPr>
          <w:p w:rsidR="002A3F61" w:rsidRDefault="00CF199E">
            <w:pPr>
              <w:spacing w:after="179" w:line="225" w:lineRule="exact"/>
              <w:ind w:left="110"/>
              <w:rPr>
                <w:sz w:val="20"/>
                <w:szCs w:val="20"/>
              </w:rPr>
            </w:pPr>
            <w:r>
              <w:rPr>
                <w:sz w:val="20"/>
                <w:szCs w:val="20"/>
              </w:rPr>
              <w:t>Vali Yardımcısı</w:t>
            </w:r>
          </w:p>
        </w:tc>
      </w:tr>
      <w:tr w:rsidR="002A3F61">
        <w:tblPrEx>
          <w:tblCellMar>
            <w:top w:w="0" w:type="dxa"/>
            <w:left w:w="0" w:type="dxa"/>
            <w:bottom w:w="0" w:type="dxa"/>
            <w:right w:w="0" w:type="dxa"/>
          </w:tblCellMar>
        </w:tblPrEx>
        <w:trPr>
          <w:trHeight w:hRule="exact" w:val="701"/>
        </w:trPr>
        <w:tc>
          <w:tcPr>
            <w:tcW w:w="1570" w:type="dxa"/>
            <w:gridSpan w:val="2"/>
            <w:tcBorders>
              <w:top w:val="single" w:sz="4" w:space="0" w:color="auto"/>
              <w:left w:val="single" w:sz="4" w:space="0" w:color="auto"/>
              <w:bottom w:val="single" w:sz="4" w:space="0" w:color="auto"/>
              <w:right w:val="single" w:sz="4" w:space="0" w:color="auto"/>
            </w:tcBorders>
            <w:vAlign w:val="center"/>
          </w:tcPr>
          <w:p w:rsidR="002A3F61" w:rsidRDefault="002A3F61">
            <w:pPr>
              <w:spacing w:before="253" w:after="222" w:line="225" w:lineRule="exact"/>
              <w:ind w:left="110"/>
              <w:rPr>
                <w:b/>
                <w:bCs/>
                <w:sz w:val="20"/>
                <w:szCs w:val="20"/>
              </w:rPr>
            </w:pPr>
            <w:r>
              <w:rPr>
                <w:b/>
                <w:bCs/>
                <w:sz w:val="20"/>
                <w:szCs w:val="20"/>
              </w:rPr>
              <w:t>ADRES</w:t>
            </w:r>
          </w:p>
        </w:tc>
        <w:tc>
          <w:tcPr>
            <w:tcW w:w="4142" w:type="dxa"/>
            <w:gridSpan w:val="2"/>
            <w:tcBorders>
              <w:top w:val="single" w:sz="4" w:space="0" w:color="auto"/>
              <w:left w:val="single" w:sz="4" w:space="0" w:color="auto"/>
              <w:bottom w:val="single" w:sz="4" w:space="0" w:color="auto"/>
              <w:right w:val="single" w:sz="4" w:space="0" w:color="auto"/>
            </w:tcBorders>
            <w:vAlign w:val="bottom"/>
          </w:tcPr>
          <w:p w:rsidR="002A3F61" w:rsidRDefault="00CF199E">
            <w:pPr>
              <w:spacing w:before="241" w:line="229" w:lineRule="exact"/>
              <w:ind w:left="108" w:right="216"/>
              <w:rPr>
                <w:sz w:val="20"/>
                <w:szCs w:val="20"/>
              </w:rPr>
            </w:pPr>
            <w:r>
              <w:rPr>
                <w:sz w:val="20"/>
                <w:szCs w:val="20"/>
              </w:rPr>
              <w:t>Mehmet Akif Mah Sakarya Caddesi No:1</w:t>
            </w:r>
          </w:p>
        </w:tc>
        <w:tc>
          <w:tcPr>
            <w:tcW w:w="1512" w:type="dxa"/>
            <w:tcBorders>
              <w:top w:val="single" w:sz="4" w:space="0" w:color="auto"/>
              <w:left w:val="single" w:sz="4" w:space="0" w:color="auto"/>
              <w:bottom w:val="single" w:sz="4" w:space="0" w:color="auto"/>
              <w:right w:val="single" w:sz="4" w:space="0" w:color="auto"/>
            </w:tcBorders>
            <w:vAlign w:val="center"/>
          </w:tcPr>
          <w:p w:rsidR="002A3F61" w:rsidRDefault="002A3F61">
            <w:pPr>
              <w:spacing w:before="253" w:after="222" w:line="225" w:lineRule="exact"/>
              <w:ind w:left="110"/>
              <w:rPr>
                <w:b/>
                <w:bCs/>
                <w:sz w:val="20"/>
                <w:szCs w:val="20"/>
              </w:rPr>
            </w:pPr>
            <w:r>
              <w:rPr>
                <w:b/>
                <w:bCs/>
                <w:sz w:val="20"/>
                <w:szCs w:val="20"/>
              </w:rPr>
              <w:t>ADRES</w:t>
            </w:r>
          </w:p>
        </w:tc>
        <w:tc>
          <w:tcPr>
            <w:tcW w:w="3993" w:type="dxa"/>
            <w:gridSpan w:val="2"/>
            <w:tcBorders>
              <w:top w:val="single" w:sz="4" w:space="0" w:color="auto"/>
              <w:left w:val="single" w:sz="4" w:space="0" w:color="auto"/>
              <w:bottom w:val="single" w:sz="4" w:space="0" w:color="auto"/>
              <w:right w:val="single" w:sz="4" w:space="0" w:color="auto"/>
            </w:tcBorders>
            <w:vAlign w:val="bottom"/>
          </w:tcPr>
          <w:p w:rsidR="002A3F61" w:rsidRDefault="00CF199E">
            <w:pPr>
              <w:spacing w:before="241" w:line="229" w:lineRule="exact"/>
              <w:ind w:left="108" w:right="540"/>
              <w:rPr>
                <w:sz w:val="20"/>
                <w:szCs w:val="20"/>
              </w:rPr>
            </w:pPr>
            <w:r>
              <w:rPr>
                <w:sz w:val="20"/>
                <w:szCs w:val="20"/>
              </w:rPr>
              <w:t>Turgut Reis Mah. Atatürk Bulvarı 259/1</w:t>
            </w:r>
          </w:p>
        </w:tc>
      </w:tr>
      <w:tr w:rsidR="002A3F61">
        <w:tblPrEx>
          <w:tblCellMar>
            <w:top w:w="0" w:type="dxa"/>
            <w:left w:w="0" w:type="dxa"/>
            <w:bottom w:w="0" w:type="dxa"/>
            <w:right w:w="0" w:type="dxa"/>
          </w:tblCellMar>
        </w:tblPrEx>
        <w:trPr>
          <w:trHeight w:hRule="exact" w:val="398"/>
        </w:trPr>
        <w:tc>
          <w:tcPr>
            <w:tcW w:w="1570" w:type="dxa"/>
            <w:gridSpan w:val="2"/>
            <w:tcBorders>
              <w:top w:val="single" w:sz="4" w:space="0" w:color="auto"/>
              <w:left w:val="single" w:sz="4" w:space="0" w:color="auto"/>
              <w:bottom w:val="single" w:sz="4" w:space="0" w:color="auto"/>
              <w:right w:val="single" w:sz="4" w:space="0" w:color="auto"/>
            </w:tcBorders>
          </w:tcPr>
          <w:p w:rsidR="002A3F61" w:rsidRDefault="002A3F61">
            <w:pPr>
              <w:spacing w:after="141" w:line="235" w:lineRule="exact"/>
              <w:ind w:left="110"/>
              <w:rPr>
                <w:b/>
                <w:bCs/>
                <w:sz w:val="20"/>
                <w:szCs w:val="20"/>
              </w:rPr>
            </w:pPr>
            <w:r>
              <w:rPr>
                <w:b/>
                <w:bCs/>
                <w:sz w:val="20"/>
                <w:szCs w:val="20"/>
              </w:rPr>
              <w:t>İŞ TEL.</w:t>
            </w:r>
          </w:p>
        </w:tc>
        <w:tc>
          <w:tcPr>
            <w:tcW w:w="4142" w:type="dxa"/>
            <w:gridSpan w:val="2"/>
            <w:tcBorders>
              <w:top w:val="single" w:sz="4" w:space="0" w:color="auto"/>
              <w:left w:val="single" w:sz="4" w:space="0" w:color="auto"/>
              <w:bottom w:val="single" w:sz="4" w:space="0" w:color="auto"/>
              <w:right w:val="single" w:sz="4" w:space="0" w:color="auto"/>
            </w:tcBorders>
          </w:tcPr>
          <w:p w:rsidR="002A3F61" w:rsidRDefault="002A3F61" w:rsidP="00CF199E">
            <w:pPr>
              <w:spacing w:after="146" w:line="225" w:lineRule="exact"/>
              <w:ind w:left="105"/>
              <w:rPr>
                <w:sz w:val="20"/>
                <w:szCs w:val="20"/>
              </w:rPr>
            </w:pPr>
            <w:r>
              <w:rPr>
                <w:sz w:val="20"/>
                <w:szCs w:val="20"/>
              </w:rPr>
              <w:t>0</w:t>
            </w:r>
            <w:r w:rsidR="00CF199E">
              <w:rPr>
                <w:sz w:val="20"/>
                <w:szCs w:val="20"/>
              </w:rPr>
              <w:t>416 216 4885</w:t>
            </w:r>
          </w:p>
        </w:tc>
        <w:tc>
          <w:tcPr>
            <w:tcW w:w="1512" w:type="dxa"/>
            <w:tcBorders>
              <w:top w:val="single" w:sz="4" w:space="0" w:color="auto"/>
              <w:left w:val="single" w:sz="4" w:space="0" w:color="auto"/>
              <w:bottom w:val="single" w:sz="4" w:space="0" w:color="auto"/>
              <w:right w:val="single" w:sz="4" w:space="0" w:color="auto"/>
            </w:tcBorders>
          </w:tcPr>
          <w:p w:rsidR="002A3F61" w:rsidRDefault="002A3F61">
            <w:pPr>
              <w:spacing w:after="144" w:line="232" w:lineRule="exact"/>
              <w:ind w:left="110"/>
              <w:rPr>
                <w:b/>
                <w:bCs/>
                <w:sz w:val="20"/>
                <w:szCs w:val="20"/>
              </w:rPr>
            </w:pPr>
            <w:r>
              <w:rPr>
                <w:b/>
                <w:bCs/>
                <w:sz w:val="20"/>
                <w:szCs w:val="20"/>
              </w:rPr>
              <w:t>İŞ TEL.</w:t>
            </w:r>
          </w:p>
        </w:tc>
        <w:tc>
          <w:tcPr>
            <w:tcW w:w="3993" w:type="dxa"/>
            <w:gridSpan w:val="2"/>
            <w:tcBorders>
              <w:top w:val="single" w:sz="4" w:space="0" w:color="auto"/>
              <w:left w:val="single" w:sz="4" w:space="0" w:color="auto"/>
              <w:bottom w:val="single" w:sz="4" w:space="0" w:color="auto"/>
              <w:right w:val="single" w:sz="4" w:space="0" w:color="auto"/>
            </w:tcBorders>
          </w:tcPr>
          <w:p w:rsidR="002A3F61" w:rsidRDefault="00CF199E">
            <w:pPr>
              <w:spacing w:after="146" w:line="225" w:lineRule="exact"/>
              <w:ind w:left="110"/>
              <w:rPr>
                <w:sz w:val="20"/>
                <w:szCs w:val="20"/>
              </w:rPr>
            </w:pPr>
            <w:r>
              <w:rPr>
                <w:sz w:val="20"/>
                <w:szCs w:val="20"/>
              </w:rPr>
              <w:t xml:space="preserve">0416 216 </w:t>
            </w:r>
            <w:r w:rsidR="00E54482">
              <w:rPr>
                <w:sz w:val="20"/>
                <w:szCs w:val="20"/>
              </w:rPr>
              <w:t>1003</w:t>
            </w:r>
          </w:p>
        </w:tc>
      </w:tr>
      <w:tr w:rsidR="002A3F61">
        <w:tblPrEx>
          <w:tblCellMar>
            <w:top w:w="0" w:type="dxa"/>
            <w:left w:w="0" w:type="dxa"/>
            <w:bottom w:w="0" w:type="dxa"/>
            <w:right w:w="0" w:type="dxa"/>
          </w:tblCellMar>
        </w:tblPrEx>
        <w:trPr>
          <w:trHeight w:hRule="exact" w:val="355"/>
        </w:trPr>
        <w:tc>
          <w:tcPr>
            <w:tcW w:w="1570" w:type="dxa"/>
            <w:gridSpan w:val="2"/>
            <w:tcBorders>
              <w:top w:val="single" w:sz="4" w:space="0" w:color="auto"/>
              <w:left w:val="single" w:sz="4" w:space="0" w:color="auto"/>
              <w:bottom w:val="single" w:sz="4" w:space="0" w:color="auto"/>
              <w:right w:val="single" w:sz="4" w:space="0" w:color="auto"/>
            </w:tcBorders>
          </w:tcPr>
          <w:p w:rsidR="002A3F61" w:rsidRDefault="002A3F61">
            <w:pPr>
              <w:spacing w:after="106" w:line="232" w:lineRule="exact"/>
              <w:ind w:left="110"/>
              <w:rPr>
                <w:b/>
                <w:bCs/>
                <w:sz w:val="20"/>
                <w:szCs w:val="20"/>
              </w:rPr>
            </w:pPr>
            <w:r>
              <w:rPr>
                <w:b/>
                <w:bCs/>
                <w:sz w:val="20"/>
                <w:szCs w:val="20"/>
              </w:rPr>
              <w:t>İŞ TEL.</w:t>
            </w:r>
          </w:p>
        </w:tc>
        <w:tc>
          <w:tcPr>
            <w:tcW w:w="4142" w:type="dxa"/>
            <w:gridSpan w:val="2"/>
            <w:tcBorders>
              <w:top w:val="single" w:sz="4" w:space="0" w:color="auto"/>
              <w:left w:val="single" w:sz="4" w:space="0" w:color="auto"/>
              <w:bottom w:val="single" w:sz="4" w:space="0" w:color="auto"/>
              <w:right w:val="single" w:sz="4" w:space="0" w:color="auto"/>
            </w:tcBorders>
          </w:tcPr>
          <w:p w:rsidR="002A3F61" w:rsidRDefault="00CF199E">
            <w:pPr>
              <w:spacing w:after="107" w:line="225" w:lineRule="exact"/>
              <w:ind w:left="105"/>
              <w:rPr>
                <w:sz w:val="20"/>
                <w:szCs w:val="20"/>
              </w:rPr>
            </w:pPr>
            <w:r>
              <w:rPr>
                <w:sz w:val="20"/>
                <w:szCs w:val="20"/>
              </w:rPr>
              <w:t>0 505 318 0200</w:t>
            </w:r>
          </w:p>
        </w:tc>
        <w:tc>
          <w:tcPr>
            <w:tcW w:w="1512" w:type="dxa"/>
            <w:tcBorders>
              <w:top w:val="single" w:sz="4" w:space="0" w:color="auto"/>
              <w:left w:val="single" w:sz="4" w:space="0" w:color="auto"/>
              <w:bottom w:val="single" w:sz="4" w:space="0" w:color="auto"/>
              <w:right w:val="single" w:sz="4" w:space="0" w:color="auto"/>
            </w:tcBorders>
          </w:tcPr>
          <w:p w:rsidR="002A3F61" w:rsidRDefault="002A3F61">
            <w:pPr>
              <w:spacing w:after="106" w:line="232" w:lineRule="exact"/>
              <w:ind w:left="110"/>
              <w:rPr>
                <w:b/>
                <w:bCs/>
                <w:sz w:val="20"/>
                <w:szCs w:val="20"/>
              </w:rPr>
            </w:pPr>
            <w:r>
              <w:rPr>
                <w:b/>
                <w:bCs/>
                <w:sz w:val="20"/>
                <w:szCs w:val="20"/>
              </w:rPr>
              <w:t>İŞ TEL.</w:t>
            </w:r>
          </w:p>
        </w:tc>
        <w:tc>
          <w:tcPr>
            <w:tcW w:w="3993" w:type="dxa"/>
            <w:gridSpan w:val="2"/>
            <w:tcBorders>
              <w:top w:val="single" w:sz="4" w:space="0" w:color="auto"/>
              <w:left w:val="single" w:sz="4" w:space="0" w:color="auto"/>
              <w:bottom w:val="single" w:sz="4" w:space="0" w:color="auto"/>
              <w:right w:val="single" w:sz="4" w:space="0" w:color="auto"/>
            </w:tcBorders>
          </w:tcPr>
          <w:p w:rsidR="002A3F61" w:rsidRDefault="00E54482" w:rsidP="00E54482">
            <w:pPr>
              <w:spacing w:after="107" w:line="225" w:lineRule="exact"/>
              <w:rPr>
                <w:sz w:val="20"/>
                <w:szCs w:val="20"/>
              </w:rPr>
            </w:pPr>
            <w:r>
              <w:rPr>
                <w:sz w:val="20"/>
                <w:szCs w:val="20"/>
              </w:rPr>
              <w:t xml:space="preserve">  0416 216 5979</w:t>
            </w:r>
          </w:p>
        </w:tc>
      </w:tr>
      <w:tr w:rsidR="002A3F61">
        <w:tblPrEx>
          <w:tblCellMar>
            <w:top w:w="0" w:type="dxa"/>
            <w:left w:w="0" w:type="dxa"/>
            <w:bottom w:w="0" w:type="dxa"/>
            <w:right w:w="0" w:type="dxa"/>
          </w:tblCellMar>
        </w:tblPrEx>
        <w:trPr>
          <w:trHeight w:hRule="exact" w:val="360"/>
        </w:trPr>
        <w:tc>
          <w:tcPr>
            <w:tcW w:w="1570" w:type="dxa"/>
            <w:gridSpan w:val="2"/>
            <w:tcBorders>
              <w:top w:val="single" w:sz="4" w:space="0" w:color="auto"/>
              <w:left w:val="single" w:sz="4" w:space="0" w:color="auto"/>
              <w:bottom w:val="single" w:sz="4" w:space="0" w:color="auto"/>
              <w:right w:val="single" w:sz="4" w:space="0" w:color="auto"/>
            </w:tcBorders>
          </w:tcPr>
          <w:p w:rsidR="002A3F61" w:rsidRDefault="002A3F61">
            <w:pPr>
              <w:spacing w:after="107" w:line="225" w:lineRule="exact"/>
              <w:ind w:left="110"/>
              <w:rPr>
                <w:b/>
                <w:bCs/>
                <w:sz w:val="20"/>
                <w:szCs w:val="20"/>
              </w:rPr>
            </w:pPr>
            <w:r>
              <w:rPr>
                <w:b/>
                <w:bCs/>
                <w:sz w:val="20"/>
                <w:szCs w:val="20"/>
              </w:rPr>
              <w:t>FAKS</w:t>
            </w:r>
          </w:p>
        </w:tc>
        <w:tc>
          <w:tcPr>
            <w:tcW w:w="4142" w:type="dxa"/>
            <w:gridSpan w:val="2"/>
            <w:tcBorders>
              <w:top w:val="single" w:sz="4" w:space="0" w:color="auto"/>
              <w:left w:val="single" w:sz="4" w:space="0" w:color="auto"/>
              <w:bottom w:val="single" w:sz="4" w:space="0" w:color="auto"/>
              <w:right w:val="single" w:sz="4" w:space="0" w:color="auto"/>
            </w:tcBorders>
          </w:tcPr>
          <w:p w:rsidR="002A3F61" w:rsidRDefault="00CF199E">
            <w:pPr>
              <w:spacing w:after="112" w:line="225" w:lineRule="exact"/>
              <w:ind w:left="105"/>
              <w:rPr>
                <w:sz w:val="20"/>
                <w:szCs w:val="20"/>
              </w:rPr>
            </w:pPr>
            <w:r>
              <w:rPr>
                <w:sz w:val="20"/>
                <w:szCs w:val="20"/>
              </w:rPr>
              <w:t>0416 216 4663</w:t>
            </w:r>
          </w:p>
        </w:tc>
        <w:tc>
          <w:tcPr>
            <w:tcW w:w="1512" w:type="dxa"/>
            <w:tcBorders>
              <w:top w:val="single" w:sz="4" w:space="0" w:color="auto"/>
              <w:left w:val="single" w:sz="4" w:space="0" w:color="auto"/>
              <w:bottom w:val="single" w:sz="4" w:space="0" w:color="auto"/>
              <w:right w:val="single" w:sz="4" w:space="0" w:color="auto"/>
            </w:tcBorders>
          </w:tcPr>
          <w:p w:rsidR="002A3F61" w:rsidRDefault="002A3F61">
            <w:pPr>
              <w:spacing w:after="107" w:line="225" w:lineRule="exact"/>
              <w:ind w:left="110"/>
              <w:rPr>
                <w:b/>
                <w:bCs/>
                <w:sz w:val="20"/>
                <w:szCs w:val="20"/>
              </w:rPr>
            </w:pPr>
            <w:r>
              <w:rPr>
                <w:b/>
                <w:bCs/>
                <w:sz w:val="20"/>
                <w:szCs w:val="20"/>
              </w:rPr>
              <w:t>FAKS</w:t>
            </w:r>
          </w:p>
        </w:tc>
        <w:tc>
          <w:tcPr>
            <w:tcW w:w="3993" w:type="dxa"/>
            <w:gridSpan w:val="2"/>
            <w:tcBorders>
              <w:top w:val="single" w:sz="4" w:space="0" w:color="auto"/>
              <w:left w:val="single" w:sz="4" w:space="0" w:color="auto"/>
              <w:bottom w:val="single" w:sz="4" w:space="0" w:color="auto"/>
              <w:right w:val="single" w:sz="4" w:space="0" w:color="auto"/>
            </w:tcBorders>
          </w:tcPr>
          <w:p w:rsidR="002A3F61" w:rsidRDefault="00E54482">
            <w:pPr>
              <w:spacing w:after="112" w:line="225" w:lineRule="exact"/>
              <w:ind w:left="110"/>
              <w:rPr>
                <w:sz w:val="20"/>
                <w:szCs w:val="20"/>
              </w:rPr>
            </w:pPr>
            <w:r>
              <w:rPr>
                <w:sz w:val="20"/>
                <w:szCs w:val="20"/>
              </w:rPr>
              <w:t>0416 216 1516</w:t>
            </w:r>
          </w:p>
        </w:tc>
      </w:tr>
    </w:tbl>
    <w:p w:rsidR="002A3F61" w:rsidRDefault="002A3F61"/>
    <w:sectPr w:rsidR="002A3F61">
      <w:pgSz w:w="11909" w:h="16838"/>
      <w:pgMar w:top="220" w:right="276" w:bottom="502" w:left="33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513D9"/>
    <w:multiLevelType w:val="hybridMultilevel"/>
    <w:tmpl w:val="FD30DEA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1E45617"/>
    <w:multiLevelType w:val="hybridMultilevel"/>
    <w:tmpl w:val="B46AB7B6"/>
    <w:lvl w:ilvl="0" w:tplc="13DC5448">
      <w:start w:val="1"/>
      <w:numFmt w:val="decimal"/>
      <w:lvlText w:val="%1."/>
      <w:lvlJc w:val="left"/>
      <w:pPr>
        <w:ind w:left="465" w:hanging="360"/>
      </w:pPr>
      <w:rPr>
        <w:rFonts w:cs="Times New Roman" w:hint="default"/>
      </w:rPr>
    </w:lvl>
    <w:lvl w:ilvl="1" w:tplc="041F0019" w:tentative="1">
      <w:start w:val="1"/>
      <w:numFmt w:val="lowerLetter"/>
      <w:lvlText w:val="%2."/>
      <w:lvlJc w:val="left"/>
      <w:pPr>
        <w:ind w:left="1185" w:hanging="360"/>
      </w:pPr>
      <w:rPr>
        <w:rFonts w:cs="Times New Roman"/>
      </w:rPr>
    </w:lvl>
    <w:lvl w:ilvl="2" w:tplc="041F001B" w:tentative="1">
      <w:start w:val="1"/>
      <w:numFmt w:val="lowerRoman"/>
      <w:lvlText w:val="%3."/>
      <w:lvlJc w:val="right"/>
      <w:pPr>
        <w:ind w:left="1905" w:hanging="180"/>
      </w:pPr>
      <w:rPr>
        <w:rFonts w:cs="Times New Roman"/>
      </w:rPr>
    </w:lvl>
    <w:lvl w:ilvl="3" w:tplc="041F000F" w:tentative="1">
      <w:start w:val="1"/>
      <w:numFmt w:val="decimal"/>
      <w:lvlText w:val="%4."/>
      <w:lvlJc w:val="left"/>
      <w:pPr>
        <w:ind w:left="2625" w:hanging="360"/>
      </w:pPr>
      <w:rPr>
        <w:rFonts w:cs="Times New Roman"/>
      </w:rPr>
    </w:lvl>
    <w:lvl w:ilvl="4" w:tplc="041F0019" w:tentative="1">
      <w:start w:val="1"/>
      <w:numFmt w:val="lowerLetter"/>
      <w:lvlText w:val="%5."/>
      <w:lvlJc w:val="left"/>
      <w:pPr>
        <w:ind w:left="3345" w:hanging="360"/>
      </w:pPr>
      <w:rPr>
        <w:rFonts w:cs="Times New Roman"/>
      </w:rPr>
    </w:lvl>
    <w:lvl w:ilvl="5" w:tplc="041F001B" w:tentative="1">
      <w:start w:val="1"/>
      <w:numFmt w:val="lowerRoman"/>
      <w:lvlText w:val="%6."/>
      <w:lvlJc w:val="right"/>
      <w:pPr>
        <w:ind w:left="4065" w:hanging="180"/>
      </w:pPr>
      <w:rPr>
        <w:rFonts w:cs="Times New Roman"/>
      </w:rPr>
    </w:lvl>
    <w:lvl w:ilvl="6" w:tplc="041F000F" w:tentative="1">
      <w:start w:val="1"/>
      <w:numFmt w:val="decimal"/>
      <w:lvlText w:val="%7."/>
      <w:lvlJc w:val="left"/>
      <w:pPr>
        <w:ind w:left="4785" w:hanging="360"/>
      </w:pPr>
      <w:rPr>
        <w:rFonts w:cs="Times New Roman"/>
      </w:rPr>
    </w:lvl>
    <w:lvl w:ilvl="7" w:tplc="041F0019" w:tentative="1">
      <w:start w:val="1"/>
      <w:numFmt w:val="lowerLetter"/>
      <w:lvlText w:val="%8."/>
      <w:lvlJc w:val="left"/>
      <w:pPr>
        <w:ind w:left="5505" w:hanging="360"/>
      </w:pPr>
      <w:rPr>
        <w:rFonts w:cs="Times New Roman"/>
      </w:rPr>
    </w:lvl>
    <w:lvl w:ilvl="8" w:tplc="041F001B" w:tentative="1">
      <w:start w:val="1"/>
      <w:numFmt w:val="lowerRoman"/>
      <w:lvlText w:val="%9."/>
      <w:lvlJc w:val="right"/>
      <w:pPr>
        <w:ind w:left="62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13"/>
    <w:rsid w:val="002A3F61"/>
    <w:rsid w:val="00C218C9"/>
    <w:rsid w:val="00C23608"/>
    <w:rsid w:val="00CF199E"/>
    <w:rsid w:val="00E33578"/>
    <w:rsid w:val="00E54482"/>
    <w:rsid w:val="00FC1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961710-8234-4369-BCC2-CFDBC697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BULUT</dc:creator>
  <cp:keywords/>
  <dc:description/>
  <cp:lastModifiedBy>EGM</cp:lastModifiedBy>
  <cp:revision>2</cp:revision>
  <dcterms:created xsi:type="dcterms:W3CDTF">2019-11-11T07:39:00Z</dcterms:created>
  <dcterms:modified xsi:type="dcterms:W3CDTF">2019-11-11T07:39:00Z</dcterms:modified>
</cp:coreProperties>
</file>